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A316EA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hyperlink r:id="rId12" w:history="1">
        <w:r w:rsidR="00457793">
          <w:rPr>
            <w:rStyle w:val="Hyperlink"/>
            <w:bCs/>
            <w:noProof w:val="0"/>
            <w:sz w:val="24"/>
            <w:szCs w:val="24"/>
          </w:rPr>
          <w:t>R2-2107935</w:t>
        </w:r>
      </w:hyperlink>
    </w:p>
    <w:p w14:paraId="11776FA6" w14:textId="072E640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DF5C6F">
        <w:rPr>
          <w:rFonts w:eastAsia="SimSun"/>
          <w:bCs/>
          <w:sz w:val="24"/>
          <w:szCs w:val="24"/>
          <w:lang w:eastAsia="zh-CN"/>
        </w:rPr>
        <w:t>16</w:t>
      </w:r>
      <w:r w:rsidR="006E1057" w:rsidRPr="006E1057">
        <w:rPr>
          <w:rFonts w:eastAsia="SimSun"/>
          <w:bCs/>
          <w:sz w:val="24"/>
          <w:szCs w:val="24"/>
          <w:lang w:eastAsia="zh-CN"/>
        </w:rPr>
        <w:t xml:space="preserve"> – </w:t>
      </w:r>
      <w:r w:rsidR="00DF5C6F">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890BD4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2A2D">
        <w:rPr>
          <w:rFonts w:cs="Arial"/>
          <w:b/>
          <w:bCs/>
          <w:sz w:val="24"/>
        </w:rPr>
        <w:t>8.22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6950DF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4E79" w:rsidRPr="00604E79">
        <w:rPr>
          <w:rFonts w:ascii="Arial" w:hAnsi="Arial" w:cs="Arial"/>
          <w:b/>
          <w:bCs/>
          <w:sz w:val="24"/>
        </w:rPr>
        <w:t>Inter-operability of band n77 extension in US</w:t>
      </w:r>
    </w:p>
    <w:p w14:paraId="236D64D9" w14:textId="77777777" w:rsidR="00604E79" w:rsidRDefault="00604E79" w:rsidP="00604E79">
      <w:pPr>
        <w:ind w:left="1985" w:hanging="1985"/>
        <w:rPr>
          <w:rFonts w:ascii="Arial" w:hAnsi="Arial" w:cs="Arial"/>
          <w:b/>
          <w:bCs/>
          <w:sz w:val="24"/>
        </w:rPr>
      </w:pPr>
      <w:r>
        <w:rPr>
          <w:rFonts w:ascii="Arial" w:hAnsi="Arial" w:cs="Arial"/>
          <w:b/>
          <w:bCs/>
          <w:sz w:val="24"/>
        </w:rPr>
        <w:t>WID/SID:</w:t>
      </w:r>
      <w:r>
        <w:rPr>
          <w:rFonts w:ascii="Arial" w:hAnsi="Arial" w:cs="Arial"/>
          <w:b/>
          <w:bCs/>
          <w:sz w:val="24"/>
        </w:rPr>
        <w:tab/>
        <w:t>NR_RF_FR1-Core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2E9C495" w14:textId="77777777" w:rsidR="00604E79" w:rsidRDefault="00604E79" w:rsidP="00604E79">
      <w:pPr>
        <w:keepNext/>
        <w:keepLines/>
        <w:pBdr>
          <w:top w:val="single" w:sz="12" w:space="3" w:color="auto"/>
        </w:pBdr>
        <w:spacing w:before="240"/>
        <w:ind w:left="1134" w:hanging="1134"/>
        <w:outlineLvl w:val="0"/>
        <w:rPr>
          <w:rFonts w:ascii="Arial" w:hAnsi="Arial"/>
          <w:sz w:val="36"/>
        </w:rPr>
      </w:pPr>
      <w:r>
        <w:rPr>
          <w:rFonts w:ascii="Arial" w:hAnsi="Arial"/>
          <w:sz w:val="36"/>
        </w:rPr>
        <w:t>1</w:t>
      </w:r>
      <w:r>
        <w:rPr>
          <w:rFonts w:ascii="Arial" w:hAnsi="Arial"/>
          <w:sz w:val="36"/>
        </w:rPr>
        <w:tab/>
        <w:t>Introduction</w:t>
      </w:r>
    </w:p>
    <w:p w14:paraId="4D275A8D" w14:textId="77777777" w:rsidR="00604E79" w:rsidRDefault="00604E79" w:rsidP="00604E79">
      <w:r>
        <w:t>The TDD band n77 has been defined to cover a wide frequency range in FR1, spanning frequency area of 3300 MHz – 4200 MHz as per TS38.101-1. However, there is a NOTE in the definition stating that in US, operation is restricted to 3700 – 3980 MHz. This is because earlier FCC rulings.</w:t>
      </w:r>
    </w:p>
    <w:p w14:paraId="79C9A591" w14:textId="35BE68F3" w:rsidR="00604E79" w:rsidRDefault="00604E79" w:rsidP="00604E79">
      <w:r>
        <w:t xml:space="preserve">However, FCC has recently released new rules for 5G operation in 3450 – 3550 MHz range, which would also be covered by Band n77. RAN4#98bis-e agreed to WF in </w:t>
      </w:r>
      <w:hyperlink r:id="rId13" w:history="1">
        <w:r w:rsidRPr="009B2A2D">
          <w:rPr>
            <w:rStyle w:val="Hyperlink"/>
          </w:rPr>
          <w:t>R4-2105439</w:t>
        </w:r>
      </w:hyperlink>
      <w:r>
        <w:t xml:space="preserve"> to extend n77 operation in US accordingly, but the issue of whether signalling support for this is needed has not been possible to resolve in RAN4: Some companies (see e.g. </w:t>
      </w:r>
      <w:hyperlink r:id="rId14" w:history="1">
        <w:r w:rsidRPr="009B2A2D">
          <w:rPr>
            <w:rStyle w:val="Hyperlink"/>
          </w:rPr>
          <w:t>R4-2110979</w:t>
        </w:r>
      </w:hyperlink>
      <w:r>
        <w:t xml:space="preserve">) claim no signalling is needed, and some companies think signalling definitely needed (see e.g. </w:t>
      </w:r>
      <w:hyperlink r:id="rId15" w:history="1">
        <w:r w:rsidRPr="009B2A2D">
          <w:rPr>
            <w:rStyle w:val="Hyperlink"/>
          </w:rPr>
          <w:t>R4-2109174</w:t>
        </w:r>
      </w:hyperlink>
      <w:r>
        <w:t>/</w:t>
      </w:r>
      <w:hyperlink r:id="rId16" w:history="1">
        <w:r w:rsidRPr="009B2A2D">
          <w:rPr>
            <w:rStyle w:val="Hyperlink"/>
          </w:rPr>
          <w:t>R4-2109442</w:t>
        </w:r>
      </w:hyperlink>
      <w:r>
        <w:t>/</w:t>
      </w:r>
      <w:hyperlink r:id="rId17" w:history="1">
        <w:r w:rsidRPr="009B2A2D">
          <w:rPr>
            <w:rStyle w:val="Hyperlink"/>
          </w:rPr>
          <w:t>R4-2109443</w:t>
        </w:r>
      </w:hyperlink>
      <w:r>
        <w:t>/</w:t>
      </w:r>
      <w:hyperlink r:id="rId18" w:history="1">
        <w:r w:rsidRPr="009B2A2D">
          <w:rPr>
            <w:rStyle w:val="Hyperlink"/>
          </w:rPr>
          <w:t>R4-2109444</w:t>
        </w:r>
      </w:hyperlink>
      <w:r>
        <w:t>).</w:t>
      </w:r>
    </w:p>
    <w:p w14:paraId="4B7A239E" w14:textId="008B5DF7" w:rsidR="00604E79" w:rsidRDefault="00604E79" w:rsidP="00604E79">
      <w:r>
        <w:t>In RAN#92e, it was decided (</w:t>
      </w:r>
      <w:r w:rsidRPr="00604E79">
        <w:t xml:space="preserve">See </w:t>
      </w:r>
      <w:hyperlink r:id="rId19" w:history="1">
        <w:r w:rsidRPr="009B2A2D">
          <w:rPr>
            <w:rStyle w:val="Hyperlink"/>
          </w:rPr>
          <w:t>RP-211587</w:t>
        </w:r>
      </w:hyperlink>
      <w:r w:rsidRPr="00604E79">
        <w:t xml:space="preserve">) </w:t>
      </w:r>
      <w:r>
        <w:t xml:space="preserve">that RAN4 focuses on the requirements and the signalling aspects are left to RAN2, with the aim to ensure that </w:t>
      </w:r>
      <w:r w:rsidRPr="002A2EC5">
        <w:t>network can properly deal with legacy n77 UEs that do not support 3.45-3.55 GHz operation in US</w:t>
      </w:r>
      <w:r>
        <w:t xml:space="preserve">. RAN2 was also tasked to complete any required work by RAN#93e (September 2021), which means RAN2 should complete the work in RAN2#115e. </w:t>
      </w:r>
    </w:p>
    <w:p w14:paraId="3560E185" w14:textId="77777777" w:rsidR="00604E79" w:rsidRDefault="00604E79" w:rsidP="00604E79">
      <w:pPr>
        <w:keepNext/>
        <w:keepLines/>
        <w:pBdr>
          <w:top w:val="single" w:sz="12" w:space="3" w:color="auto"/>
        </w:pBdr>
        <w:spacing w:before="240"/>
        <w:ind w:left="1134" w:hanging="1134"/>
        <w:outlineLvl w:val="0"/>
        <w:rPr>
          <w:rFonts w:ascii="Arial" w:hAnsi="Arial"/>
          <w:sz w:val="36"/>
        </w:rPr>
      </w:pPr>
      <w:r>
        <w:rPr>
          <w:rFonts w:ascii="Arial" w:hAnsi="Arial"/>
          <w:sz w:val="36"/>
        </w:rPr>
        <w:t>2</w:t>
      </w:r>
      <w:r>
        <w:rPr>
          <w:rFonts w:ascii="Arial" w:hAnsi="Arial"/>
          <w:sz w:val="36"/>
        </w:rPr>
        <w:tab/>
        <w:t>Band n77 extension in US</w:t>
      </w:r>
    </w:p>
    <w:p w14:paraId="58DFF7F5" w14:textId="409457D6" w:rsidR="009171D3" w:rsidRPr="006E13D1" w:rsidRDefault="009171D3" w:rsidP="009171D3">
      <w:pPr>
        <w:pStyle w:val="Heading2"/>
      </w:pPr>
      <w:r>
        <w:t>2</w:t>
      </w:r>
      <w:r w:rsidRPr="006E13D1">
        <w:t>.1</w:t>
      </w:r>
      <w:r w:rsidRPr="006E13D1">
        <w:tab/>
      </w:r>
      <w:r>
        <w:t>Allowed frequencies in US for band n77</w:t>
      </w:r>
      <w:r w:rsidRPr="006E13D1">
        <w:t xml:space="preserve"> </w:t>
      </w:r>
    </w:p>
    <w:p w14:paraId="6808BC94" w14:textId="51BDE4DF" w:rsidR="009B2A2D" w:rsidRDefault="009B2A2D" w:rsidP="00604E79">
      <w:r>
        <w:t xml:space="preserve">The basic situation with band n77 is as shown below: </w:t>
      </w:r>
    </w:p>
    <w:p w14:paraId="7D02116E" w14:textId="4CAD2F30" w:rsidR="006101EC" w:rsidRDefault="004D2E7F" w:rsidP="00604E79">
      <w:r>
        <w:rPr>
          <w:noProof/>
        </w:rPr>
        <w:drawing>
          <wp:inline distT="0" distB="0" distL="0" distR="0" wp14:anchorId="04F7BEEE" wp14:editId="13DA711E">
            <wp:extent cx="5947775" cy="17386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73026" cy="1746011"/>
                    </a:xfrm>
                    <a:prstGeom prst="rect">
                      <a:avLst/>
                    </a:prstGeom>
                    <a:noFill/>
                  </pic:spPr>
                </pic:pic>
              </a:graphicData>
            </a:graphic>
          </wp:inline>
        </w:drawing>
      </w:r>
    </w:p>
    <w:p w14:paraId="45E633DD" w14:textId="799EAC0B" w:rsidR="004D2E7F" w:rsidRDefault="004D2E7F" w:rsidP="00604E79">
      <w:r>
        <w:t xml:space="preserve">That is, the usage of band n77 in the US is being changed so that previously unavailable part of the band is now becoming available. The UEs currently supporting (global) n77 would support the actual frequency filters of any part of n77, but might not be able to operate according to the updated definition of the band n77 in the US. Hence, they might not support configuration of the 3450-3550 MHz frequency range when operating in a PLMN whose MCC identifies it as being in the US. Further, since the RF requirements are only being defined now, there is no guarantee that the UEs are able to comply with those according to their current RF. </w:t>
      </w:r>
    </w:p>
    <w:p w14:paraId="3762F2F9" w14:textId="5AC3B031" w:rsidR="004D2E7F" w:rsidRDefault="004D2E7F" w:rsidP="00604E79">
      <w:r w:rsidRPr="004D2E7F">
        <w:rPr>
          <w:b/>
          <w:bCs/>
        </w:rPr>
        <w:t>Observation 1:</w:t>
      </w:r>
      <w:r>
        <w:t xml:space="preserve"> It is not clear if UEs supporting current n77 definition in US support extended n77 definition in US.</w:t>
      </w:r>
    </w:p>
    <w:p w14:paraId="01B7C948" w14:textId="137366A7" w:rsidR="004D2E7F" w:rsidRDefault="004D2E7F" w:rsidP="00604E79">
      <w:r>
        <w:lastRenderedPageBreak/>
        <w:t>In general, we note that the issue being discussed is whether (and which) signalling would be needed so network can distinguish whether UEs support for 0) support 1) or 2). As usual, UE supporting 2) but operating in a network supporting only 1) would not be configured with the extended part, but UE supporting 1) operating in a network supporting 2) would need to be distinguished. This is a typical case of extending a "feature" support later on, which is usually done with signalling.</w:t>
      </w:r>
    </w:p>
    <w:p w14:paraId="17AA6D2B" w14:textId="7C98AAC8" w:rsidR="004D2E7F" w:rsidRDefault="004D2E7F" w:rsidP="00604E79">
      <w:r w:rsidRPr="004D2E7F">
        <w:rPr>
          <w:b/>
          <w:bCs/>
        </w:rPr>
        <w:t xml:space="preserve">Observation </w:t>
      </w:r>
      <w:r>
        <w:rPr>
          <w:b/>
          <w:bCs/>
        </w:rPr>
        <w:t>2</w:t>
      </w:r>
      <w:r w:rsidRPr="004D2E7F">
        <w:rPr>
          <w:b/>
          <w:bCs/>
        </w:rPr>
        <w:t>:</w:t>
      </w:r>
      <w:r>
        <w:t xml:space="preserve"> RAN2 normally uses signalling to distinguish UEs supporting an extended version of a feature from those support the basic version of the feature.</w:t>
      </w:r>
    </w:p>
    <w:p w14:paraId="33222805" w14:textId="4D35D375" w:rsidR="009171D3" w:rsidRPr="006E13D1" w:rsidRDefault="009171D3" w:rsidP="009171D3">
      <w:pPr>
        <w:pStyle w:val="Heading2"/>
      </w:pPr>
      <w:r>
        <w:t>2</w:t>
      </w:r>
      <w:r w:rsidRPr="006E13D1">
        <w:t>.</w:t>
      </w:r>
      <w:r>
        <w:t>2</w:t>
      </w:r>
      <w:r w:rsidRPr="006E13D1">
        <w:tab/>
      </w:r>
      <w:r>
        <w:t>UE support of band n77</w:t>
      </w:r>
      <w:r w:rsidRPr="006E13D1">
        <w:t xml:space="preserve"> </w:t>
      </w:r>
      <w:r>
        <w:t>extension in US</w:t>
      </w:r>
    </w:p>
    <w:p w14:paraId="2A49D8EE" w14:textId="792806A5" w:rsidR="009171D3" w:rsidRDefault="004D2E7F" w:rsidP="00604E79">
      <w:r>
        <w:t>We understand that the</w:t>
      </w:r>
      <w:r w:rsidR="009171D3">
        <w:t xml:space="preserve"> </w:t>
      </w:r>
      <w:r>
        <w:t>dis</w:t>
      </w:r>
      <w:r w:rsidR="009171D3">
        <w:t>c</w:t>
      </w:r>
      <w:r>
        <w:t>ussion in RAN4 has been mainly about the RF requirements, with brief forays into how signalling support could be done</w:t>
      </w:r>
      <w:r w:rsidR="009171D3">
        <w:t xml:space="preserve"> (e.g. via reuse of </w:t>
      </w:r>
      <w:r w:rsidR="009171D3" w:rsidRPr="009171D3">
        <w:rPr>
          <w:i/>
          <w:iCs/>
        </w:rPr>
        <w:t>modifiedMPR</w:t>
      </w:r>
      <w:r w:rsidR="009171D3">
        <w:t xml:space="preserve"> bits)</w:t>
      </w:r>
      <w:r>
        <w:t xml:space="preserve">, but with some companies claiming no signalling support is needed. </w:t>
      </w:r>
      <w:r w:rsidR="009171D3">
        <w:t xml:space="preserve">Hence, there was no consensus on how to progress, as </w:t>
      </w:r>
      <w:r w:rsidR="002908E3">
        <w:t xml:space="preserve">the signalling questions were not in the main expertise of RAN4, which </w:t>
      </w:r>
      <w:r w:rsidR="009171D3">
        <w:t xml:space="preserve">was </w:t>
      </w:r>
      <w:r w:rsidR="002908E3">
        <w:t xml:space="preserve">one </w:t>
      </w:r>
      <w:r w:rsidR="009171D3">
        <w:t>reason why RAN tasked RAN2 to handle the questions on signalling.</w:t>
      </w:r>
    </w:p>
    <w:p w14:paraId="28D509B8" w14:textId="470F0ADD" w:rsidR="009171D3" w:rsidRDefault="009171D3" w:rsidP="00604E79">
      <w:r>
        <w:t xml:space="preserve">So far the RAN4 discussion centered on the question of whether to support signalling. The main arguments from those not </w:t>
      </w:r>
      <w:r w:rsidR="00F01D5C">
        <w:t xml:space="preserve">wishing </w:t>
      </w:r>
      <w:r>
        <w:t>to support signalling were that it would allow existing UEs to utilize the extended spectrum, but this is even if that wa</w:t>
      </w:r>
      <w:r w:rsidR="00F01D5C">
        <w:t>s</w:t>
      </w:r>
      <w:r>
        <w:t xml:space="preserve"> the case, the UEs would need to be updated</w:t>
      </w:r>
      <w:r w:rsidR="00577182">
        <w:t xml:space="preserve"> (and possibl</w:t>
      </w:r>
      <w:r w:rsidR="00072FDF">
        <w:t>y</w:t>
      </w:r>
      <w:r w:rsidR="00577182">
        <w:t xml:space="preserve"> re-certified as the</w:t>
      </w:r>
      <w:r w:rsidR="00CC1FE9">
        <w:t xml:space="preserve"> previous certification would have only concerned the </w:t>
      </w:r>
      <w:r w:rsidR="002908E3">
        <w:t>existing n77 usage)</w:t>
      </w:r>
      <w:r>
        <w:t>. And if the UEs were to be updated, then it's not clear why there would be problems to update also the actual capability signalling (as has been done before). It seems that anyway UEs will have to be updated to support the extended version of n77 in US!</w:t>
      </w:r>
    </w:p>
    <w:p w14:paraId="37DDCEA9" w14:textId="37A7D825" w:rsidR="009171D3" w:rsidRDefault="009171D3" w:rsidP="00604E79">
      <w:r w:rsidRPr="009171D3">
        <w:rPr>
          <w:b/>
          <w:bCs/>
        </w:rPr>
        <w:t>Observation 3:</w:t>
      </w:r>
      <w:r>
        <w:t xml:space="preserve"> </w:t>
      </w:r>
      <w:r w:rsidR="001B268F">
        <w:t xml:space="preserve">Existing </w:t>
      </w:r>
      <w:r>
        <w:t xml:space="preserve">UEs in the field </w:t>
      </w:r>
      <w:r w:rsidR="001B268F">
        <w:t xml:space="preserve">would need to receive SW updates </w:t>
      </w:r>
      <w:r>
        <w:t xml:space="preserve"> </w:t>
      </w:r>
      <w:r w:rsidR="001B268F">
        <w:t>(and possibl</w:t>
      </w:r>
      <w:r w:rsidR="00072FDF">
        <w:t>y</w:t>
      </w:r>
      <w:r w:rsidR="001B268F">
        <w:t xml:space="preserve"> even be re-certified) </w:t>
      </w:r>
      <w:r>
        <w:t>to support the extended band n77 in US.</w:t>
      </w:r>
    </w:p>
    <w:p w14:paraId="087720D4" w14:textId="6D7E4D6F" w:rsidR="009171D3" w:rsidRDefault="009171D3" w:rsidP="00604E79">
      <w:r>
        <w:t>Further, absence of signalling opens up multiple questions: Can network configure measurements blindly without knowing UE capabilities? If a legacy UE decides to cause RLF due to this (due to considering it as network configuring something not indicated by UE capabilities), how would the network know the reason for this? In light of these, we think it's by far the simplest and most straightforward to define the signalling, as is done normally and would propose RAN2 starts from that assumption.</w:t>
      </w:r>
    </w:p>
    <w:p w14:paraId="63B79D36" w14:textId="216D90BD" w:rsidR="009171D3" w:rsidRDefault="009171D3" w:rsidP="00604E79">
      <w:r w:rsidRPr="009171D3">
        <w:rPr>
          <w:b/>
          <w:bCs/>
        </w:rPr>
        <w:t>Proposal 1:</w:t>
      </w:r>
      <w:r>
        <w:t xml:space="preserve"> RAN2 defines new signalling that UE uses to indicate it supports extended US band n77 (i.e. the </w:t>
      </w:r>
      <w:r w:rsidR="00F01D5C">
        <w:t xml:space="preserve">frequency </w:t>
      </w:r>
      <w:r>
        <w:t>range 3450-3550 MHz in addition to the existing 3700-3980 MHz).</w:t>
      </w:r>
    </w:p>
    <w:p w14:paraId="7B8491FE" w14:textId="77777777" w:rsidR="009171D3" w:rsidRDefault="009171D3" w:rsidP="00604E79">
      <w:r>
        <w:t>On the exact signalling mechanisms, we would note the following:</w:t>
      </w:r>
    </w:p>
    <w:p w14:paraId="19E6E661" w14:textId="421A47F9" w:rsidR="009171D3" w:rsidRDefault="009171D3" w:rsidP="009171D3">
      <w:pPr>
        <w:pStyle w:val="ListParagraph"/>
        <w:numPr>
          <w:ilvl w:val="0"/>
          <w:numId w:val="10"/>
        </w:numPr>
      </w:pPr>
      <w:r>
        <w:t xml:space="preserve">The bits in the field </w:t>
      </w:r>
      <w:r w:rsidRPr="009171D3">
        <w:rPr>
          <w:i/>
          <w:iCs/>
        </w:rPr>
        <w:t>modifiedMPR</w:t>
      </w:r>
      <w:r>
        <w:t xml:space="preserve"> was proposed to be used in </w:t>
      </w:r>
      <w:hyperlink r:id="rId21" w:history="1">
        <w:r w:rsidRPr="009B2A2D">
          <w:rPr>
            <w:rStyle w:val="Hyperlink"/>
          </w:rPr>
          <w:t>R4-2109442</w:t>
        </w:r>
      </w:hyperlink>
      <w:r>
        <w:t>/</w:t>
      </w:r>
      <w:hyperlink r:id="rId22" w:history="1">
        <w:r w:rsidRPr="009B2A2D">
          <w:rPr>
            <w:rStyle w:val="Hyperlink"/>
          </w:rPr>
          <w:t>R4-2109443</w:t>
        </w:r>
      </w:hyperlink>
      <w:r>
        <w:t>/</w:t>
      </w:r>
      <w:hyperlink r:id="rId23" w:history="1">
        <w:r w:rsidRPr="009B2A2D">
          <w:rPr>
            <w:rStyle w:val="Hyperlink"/>
          </w:rPr>
          <w:t>R4-2109444</w:t>
        </w:r>
      </w:hyperlink>
      <w:r>
        <w:t>, mainly due to not increasing signalling overhead.</w:t>
      </w:r>
    </w:p>
    <w:p w14:paraId="05480197" w14:textId="31C4802A" w:rsidR="009171D3" w:rsidRPr="00DB6B5D" w:rsidRDefault="009171D3" w:rsidP="009171D3">
      <w:pPr>
        <w:pStyle w:val="ListParagraph"/>
        <w:numPr>
          <w:ilvl w:val="0"/>
          <w:numId w:val="10"/>
        </w:numPr>
      </w:pPr>
      <w:r>
        <w:t xml:space="preserve">Adding an extra bit to the n77 </w:t>
      </w:r>
      <w:r w:rsidR="00DB6B5D">
        <w:t xml:space="preserve">is very simple but </w:t>
      </w:r>
      <w:r>
        <w:t>increases UE capability overhead by 1-bit</w:t>
      </w:r>
      <w:r w:rsidR="00DB6B5D">
        <w:t xml:space="preserve"> for </w:t>
      </w:r>
      <w:r w:rsidR="00DB6B5D">
        <w:rPr>
          <w:i/>
          <w:iCs/>
        </w:rPr>
        <w:t>all</w:t>
      </w:r>
      <w:r w:rsidR="00DB6B5D">
        <w:rPr>
          <w:b/>
          <w:bCs/>
          <w:i/>
          <w:iCs/>
        </w:rPr>
        <w:t xml:space="preserve"> </w:t>
      </w:r>
      <w:r w:rsidR="00DB6B5D">
        <w:t>b</w:t>
      </w:r>
      <w:r w:rsidR="00DB6B5D" w:rsidRPr="00DB6B5D">
        <w:t>ands</w:t>
      </w:r>
      <w:r w:rsidR="00DB6B5D">
        <w:t xml:space="preserve"> if done via per-band signalling.</w:t>
      </w:r>
    </w:p>
    <w:p w14:paraId="2E6DE9F8" w14:textId="6C6383DD" w:rsidR="00DB6B5D" w:rsidRDefault="00DB6B5D" w:rsidP="00604E79">
      <w:r>
        <w:t xml:space="preserve">Generally, we see that using the </w:t>
      </w:r>
      <w:r w:rsidRPr="00DB6B5D">
        <w:rPr>
          <w:i/>
          <w:iCs/>
        </w:rPr>
        <w:t>modifiedMPR</w:t>
      </w:r>
      <w:r>
        <w:t xml:space="preserve"> would be possible if the overhead is seen as a problem, even though this abuses the original intention of the signalling. However, we also think that the overhead is likely not the biggest issue as the UE capability could be a per-UE field just as well. Hence, we think that would be the simplest solution.</w:t>
      </w:r>
    </w:p>
    <w:p w14:paraId="40C69412" w14:textId="27F5CD20" w:rsidR="00DB6B5D" w:rsidRDefault="00DB6B5D" w:rsidP="00604E79">
      <w:r w:rsidRPr="00DB6B5D">
        <w:rPr>
          <w:b/>
          <w:bCs/>
        </w:rPr>
        <w:t>Proposal 2:</w:t>
      </w:r>
      <w:r>
        <w:t xml:space="preserve"> Add a </w:t>
      </w:r>
      <w:r w:rsidR="00EB2609">
        <w:t xml:space="preserve">new </w:t>
      </w:r>
      <w:r>
        <w:t>per-UE capability that indicates that UE supports extended frequency range in US for band n77.</w:t>
      </w:r>
    </w:p>
    <w:p w14:paraId="6C16D381" w14:textId="03566E6B" w:rsidR="00604E79" w:rsidRDefault="00DB6B5D" w:rsidP="00604E79">
      <w:r>
        <w:t>We would also note that band n77 exists in several EN-DC band combinations. This means that for network to assign measurements of band n77 in US, it needs to know whether UE supports the exte</w:t>
      </w:r>
      <w:r w:rsidR="003E6CF4">
        <w:t>n</w:t>
      </w:r>
      <w:r>
        <w:t>ded range. Therefore, adding capability bit for NR only is not sufficient as LTE eNB also needs to know about the UE supports. Hence, it seems clear that a per-UE capability bit is also required for LTE RRC.</w:t>
      </w:r>
    </w:p>
    <w:p w14:paraId="2CB0BEA2" w14:textId="3257D204" w:rsidR="00DB6B5D" w:rsidRDefault="00DB6B5D" w:rsidP="00604E79">
      <w:r w:rsidRPr="00DB6B5D">
        <w:rPr>
          <w:b/>
          <w:bCs/>
        </w:rPr>
        <w:t>Observation 4:</w:t>
      </w:r>
      <w:r>
        <w:t xml:space="preserve"> LTE eNB needs to know UE support of band n77 frequency range to configure measurements for EN-DC purposes.</w:t>
      </w:r>
    </w:p>
    <w:p w14:paraId="3F596489" w14:textId="45A152E8" w:rsidR="00454400" w:rsidRDefault="00DB6B5D" w:rsidP="00DB6B5D">
      <w:r w:rsidRPr="00DB6B5D">
        <w:rPr>
          <w:b/>
          <w:bCs/>
        </w:rPr>
        <w:t xml:space="preserve">Proposal </w:t>
      </w:r>
      <w:r>
        <w:rPr>
          <w:b/>
          <w:bCs/>
        </w:rPr>
        <w:t>3</w:t>
      </w:r>
      <w:r w:rsidRPr="00DB6B5D">
        <w:rPr>
          <w:b/>
          <w:bCs/>
        </w:rPr>
        <w:t>:</w:t>
      </w:r>
      <w:r>
        <w:t xml:space="preserve"> Add the per-UE capability to both NR and LTE RRC.</w:t>
      </w:r>
      <w:r w:rsidR="00454400">
        <w:t xml:space="preserve"> </w:t>
      </w:r>
      <w:r w:rsidR="001C1515">
        <w:t xml:space="preserve">A UE supporting the capability for n77 extension in US shall support the n77 extension in US for both NR SA and </w:t>
      </w:r>
      <w:r w:rsidR="004E26A8">
        <w:t>EN-DC/MR</w:t>
      </w:r>
      <w:r w:rsidR="001C1515">
        <w:t>-DC operation.</w:t>
      </w:r>
    </w:p>
    <w:p w14:paraId="7EF8A66A" w14:textId="52FDA3FD" w:rsidR="00D140D6" w:rsidRDefault="00D140D6" w:rsidP="00DB6B5D">
      <w:r>
        <w:t>Finally, the question on release for the CRs needs to be resolved</w:t>
      </w:r>
      <w:r w:rsidR="00B760E0">
        <w:t xml:space="preserve">: As the frequency bands are release-independent, in principle the changes should be done from Rel-15 onwards. We think this is anyway possible via late non-critical extension to capabilities, even if </w:t>
      </w:r>
      <w:r w:rsidR="00A60AAD">
        <w:t xml:space="preserve">that will require some additional care and the CRs will </w:t>
      </w:r>
      <w:r w:rsidR="00BD662C">
        <w:t>"</w:t>
      </w:r>
      <w:r w:rsidR="00A60AAD">
        <w:t>look</w:t>
      </w:r>
      <w:r w:rsidR="00BD662C">
        <w:t>"</w:t>
      </w:r>
      <w:r w:rsidR="00A60AAD">
        <w:t xml:space="preserve"> slightly more complicated (due to use of late NCEs)., but this is not really </w:t>
      </w:r>
      <w:r w:rsidR="00BD662C">
        <w:t>a serious argument</w:t>
      </w:r>
      <w:r w:rsidR="00B760E0">
        <w:t>.</w:t>
      </w:r>
      <w:r w:rsidR="002151E6">
        <w:t xml:space="preserve"> While we think </w:t>
      </w:r>
      <w:r w:rsidR="00BD662C">
        <w:t xml:space="preserve">CRs from </w:t>
      </w:r>
      <w:r w:rsidR="002151E6">
        <w:t xml:space="preserve">Rel-15 </w:t>
      </w:r>
      <w:r w:rsidR="00BD662C">
        <w:t xml:space="preserve">onwards </w:t>
      </w:r>
      <w:r w:rsidR="002151E6">
        <w:t xml:space="preserve">would be more appropriate, it would be also acceptable to only </w:t>
      </w:r>
      <w:r w:rsidR="00951F08">
        <w:t xml:space="preserve">agree to </w:t>
      </w:r>
      <w:r w:rsidR="002151E6">
        <w:t>the changes from Rel-16 onwards</w:t>
      </w:r>
      <w:r w:rsidR="006B0AEB">
        <w:t xml:space="preserve"> </w:t>
      </w:r>
      <w:r w:rsidR="006B0AEB">
        <w:lastRenderedPageBreak/>
        <w:t>(with magic sentence)</w:t>
      </w:r>
      <w:r w:rsidR="002151E6">
        <w:t>.</w:t>
      </w:r>
      <w:r w:rsidR="006B0AEB">
        <w:t xml:space="preserve"> In general it is better to have capabilities applicable from earliest release possible to avoid issues with ASN.1 comprehension</w:t>
      </w:r>
      <w:r w:rsidR="00A74C0A">
        <w:t>, so to avoid any issues the capabilities would be best to introduce from Rel-15 onwards.</w:t>
      </w:r>
    </w:p>
    <w:p w14:paraId="6DE9C139" w14:textId="441856F0" w:rsidR="00BC5708" w:rsidRDefault="00BC5708" w:rsidP="00DB6B5D">
      <w:r w:rsidRPr="00487A4B">
        <w:rPr>
          <w:b/>
          <w:bCs/>
        </w:rPr>
        <w:t>Observation 5:</w:t>
      </w:r>
      <w:r>
        <w:t xml:space="preserve"> Rel-15 </w:t>
      </w:r>
      <w:r w:rsidR="00487A4B">
        <w:t xml:space="preserve">changes </w:t>
      </w:r>
      <w:r>
        <w:t xml:space="preserve">would be more </w:t>
      </w:r>
      <w:r w:rsidR="00487A4B">
        <w:t xml:space="preserve">aligned </w:t>
      </w:r>
      <w:r>
        <w:t>for release-independence</w:t>
      </w:r>
      <w:r w:rsidR="00487A4B">
        <w:t>, whereas Rel-16 changes would easier to implement in terms of CRs (as late NCEs to LTE and NR RRC can be avoided).</w:t>
      </w:r>
    </w:p>
    <w:p w14:paraId="357EE607" w14:textId="0D4B2049" w:rsidR="00E268A9" w:rsidRDefault="00951F08" w:rsidP="00DB6B5D">
      <w:r w:rsidRPr="00134253">
        <w:t>To this end, we have provided e</w:t>
      </w:r>
      <w:r w:rsidR="00DB6B5D" w:rsidRPr="00134253">
        <w:t xml:space="preserve">xample CRs for </w:t>
      </w:r>
      <w:r w:rsidRPr="00134253">
        <w:t>changes from Rel-1</w:t>
      </w:r>
      <w:r w:rsidR="00D143DA" w:rsidRPr="00134253">
        <w:t>6</w:t>
      </w:r>
      <w:r w:rsidRPr="00134253">
        <w:t xml:space="preserve"> onwards </w:t>
      </w:r>
      <w:r w:rsidR="00DB6B5D" w:rsidRPr="00134253">
        <w:t xml:space="preserve">in </w:t>
      </w:r>
      <w:hyperlink r:id="rId24" w:history="1">
        <w:r w:rsidR="00457793">
          <w:rPr>
            <w:rStyle w:val="Hyperlink"/>
          </w:rPr>
          <w:t>R2-2107939</w:t>
        </w:r>
      </w:hyperlink>
      <w:r w:rsidR="00D143DA" w:rsidRPr="00134253">
        <w:t xml:space="preserve"> (38.331), </w:t>
      </w:r>
      <w:hyperlink r:id="rId25" w:history="1">
        <w:r w:rsidR="00457793">
          <w:rPr>
            <w:rStyle w:val="Hyperlink"/>
          </w:rPr>
          <w:t>R2-2107938</w:t>
        </w:r>
      </w:hyperlink>
      <w:r w:rsidR="00D143DA" w:rsidRPr="00134253" w:rsidDel="00D143DA">
        <w:t xml:space="preserve"> </w:t>
      </w:r>
      <w:r w:rsidR="00D143DA" w:rsidRPr="00134253">
        <w:t xml:space="preserve">(38.306), </w:t>
      </w:r>
      <w:hyperlink r:id="rId26" w:history="1">
        <w:r w:rsidR="00457793">
          <w:rPr>
            <w:rStyle w:val="Hyperlink"/>
          </w:rPr>
          <w:t>R2-2107937</w:t>
        </w:r>
      </w:hyperlink>
      <w:r w:rsidR="00D143DA" w:rsidRPr="00134253" w:rsidDel="00D143DA">
        <w:t xml:space="preserve"> </w:t>
      </w:r>
      <w:r w:rsidR="00D143DA" w:rsidRPr="00134253">
        <w:t xml:space="preserve">(36.331), </w:t>
      </w:r>
      <w:hyperlink r:id="rId27" w:history="1">
        <w:r w:rsidR="00457793">
          <w:rPr>
            <w:rStyle w:val="Hyperlink"/>
          </w:rPr>
          <w:t>R2-2107936</w:t>
        </w:r>
      </w:hyperlink>
      <w:r w:rsidR="00D143DA" w:rsidRPr="00134253" w:rsidDel="00D143DA">
        <w:t xml:space="preserve"> </w:t>
      </w:r>
      <w:r w:rsidR="00D143DA" w:rsidRPr="00134253">
        <w:t>(36.306)</w:t>
      </w:r>
      <w:r w:rsidRPr="00134253">
        <w:t xml:space="preserve">, and CRs </w:t>
      </w:r>
      <w:r w:rsidR="00D143DA" w:rsidRPr="00134253">
        <w:t xml:space="preserve">from </w:t>
      </w:r>
      <w:r w:rsidRPr="00134253">
        <w:t>Rel-1</w:t>
      </w:r>
      <w:r w:rsidR="00D143DA" w:rsidRPr="00134253">
        <w:t>5</w:t>
      </w:r>
      <w:r w:rsidRPr="00134253">
        <w:t xml:space="preserve"> </w:t>
      </w:r>
      <w:r w:rsidR="00D143DA" w:rsidRPr="00134253">
        <w:t xml:space="preserve">onwards </w:t>
      </w:r>
      <w:r w:rsidRPr="00134253">
        <w:t>in</w:t>
      </w:r>
      <w:hyperlink r:id="rId28" w:history="1">
        <w:r w:rsidR="00457793">
          <w:rPr>
            <w:rStyle w:val="Hyperlink"/>
          </w:rPr>
          <w:t xml:space="preserve">R2-21xxxx </w:t>
        </w:r>
      </w:hyperlink>
      <w:r w:rsidR="00457793">
        <w:t xml:space="preserve"> </w:t>
      </w:r>
      <w:hyperlink r:id="rId29" w:history="1">
        <w:r w:rsidR="00457793">
          <w:rPr>
            <w:rStyle w:val="Hyperlink"/>
          </w:rPr>
          <w:t xml:space="preserve">R2-21xxxx </w:t>
        </w:r>
      </w:hyperlink>
      <w:r w:rsidR="00457793">
        <w:t xml:space="preserve"> </w:t>
      </w:r>
      <w:hyperlink r:id="rId30" w:history="1">
        <w:r w:rsidR="00457793">
          <w:rPr>
            <w:rStyle w:val="Hyperlink"/>
          </w:rPr>
          <w:t xml:space="preserve">R2-21xxxx </w:t>
        </w:r>
      </w:hyperlink>
      <w:r w:rsidR="00457793">
        <w:t xml:space="preserve"> </w:t>
      </w:r>
      <w:hyperlink r:id="rId31" w:history="1">
        <w:r w:rsidR="00457793">
          <w:rPr>
            <w:rStyle w:val="Hyperlink"/>
          </w:rPr>
          <w:t xml:space="preserve">R2-21xxxx </w:t>
        </w:r>
      </w:hyperlink>
      <w:r w:rsidR="00457793">
        <w:t xml:space="preserve"> </w:t>
      </w:r>
      <w:r w:rsidR="00D143DA" w:rsidRPr="00134253">
        <w:t xml:space="preserve"> </w:t>
      </w:r>
      <w:hyperlink r:id="rId32" w:history="1">
        <w:r w:rsidR="00457793">
          <w:rPr>
            <w:rStyle w:val="Hyperlink"/>
          </w:rPr>
          <w:t>R2-2107940</w:t>
        </w:r>
      </w:hyperlink>
      <w:r w:rsidR="00D143DA" w:rsidRPr="00134253">
        <w:t>/</w:t>
      </w:r>
      <w:hyperlink r:id="rId33" w:history="1">
        <w:r w:rsidR="00457793">
          <w:rPr>
            <w:rStyle w:val="Hyperlink"/>
          </w:rPr>
          <w:t>R2-2107941</w:t>
        </w:r>
      </w:hyperlink>
      <w:r w:rsidR="00D143DA" w:rsidRPr="00134253">
        <w:t xml:space="preserve"> (36.306), </w:t>
      </w:r>
      <w:hyperlink r:id="rId34" w:history="1">
        <w:r w:rsidR="00457793">
          <w:rPr>
            <w:rStyle w:val="Hyperlink"/>
          </w:rPr>
          <w:t>R2-2107942</w:t>
        </w:r>
      </w:hyperlink>
      <w:r w:rsidR="00D143DA" w:rsidRPr="00134253">
        <w:t>/</w:t>
      </w:r>
      <w:hyperlink r:id="rId35" w:history="1">
        <w:r w:rsidR="00457793">
          <w:rPr>
            <w:rStyle w:val="Hyperlink"/>
          </w:rPr>
          <w:t>R2-2107943</w:t>
        </w:r>
      </w:hyperlink>
      <w:r w:rsidR="00D143DA" w:rsidRPr="00134253">
        <w:t xml:space="preserve"> (36.331), , </w:t>
      </w:r>
      <w:hyperlink r:id="rId36" w:history="1">
        <w:r w:rsidR="00457793">
          <w:rPr>
            <w:rStyle w:val="Hyperlink"/>
          </w:rPr>
          <w:t>R2-2107944</w:t>
        </w:r>
      </w:hyperlink>
      <w:r w:rsidR="00D143DA" w:rsidRPr="00134253">
        <w:t xml:space="preserve">/ </w:t>
      </w:r>
      <w:hyperlink r:id="rId37" w:history="1">
        <w:r w:rsidR="00457793">
          <w:rPr>
            <w:rStyle w:val="Hyperlink"/>
          </w:rPr>
          <w:t>R2-2107945</w:t>
        </w:r>
      </w:hyperlink>
      <w:r w:rsidR="00D143DA" w:rsidRPr="00134253">
        <w:t xml:space="preserve"> (38.306) and </w:t>
      </w:r>
      <w:hyperlink r:id="rId38" w:history="1">
        <w:r w:rsidR="00457793">
          <w:rPr>
            <w:rStyle w:val="Hyperlink"/>
          </w:rPr>
          <w:t>R2-2107946</w:t>
        </w:r>
      </w:hyperlink>
      <w:r w:rsidR="00D143DA" w:rsidRPr="00134253">
        <w:t>/</w:t>
      </w:r>
      <w:hyperlink r:id="rId39" w:history="1">
        <w:r w:rsidR="00457793">
          <w:rPr>
            <w:rStyle w:val="Hyperlink"/>
          </w:rPr>
          <w:t>R2-2107947</w:t>
        </w:r>
      </w:hyperlink>
      <w:r w:rsidR="00D143DA" w:rsidRPr="00134253">
        <w:t xml:space="preserve"> (38.331)</w:t>
      </w:r>
      <w:r w:rsidRPr="00134253">
        <w:t>.</w:t>
      </w:r>
    </w:p>
    <w:p w14:paraId="2548451F" w14:textId="027D5BCB" w:rsidR="00BC5708" w:rsidRDefault="00BC5708" w:rsidP="00DB6B5D">
      <w:r w:rsidRPr="00B760E0">
        <w:rPr>
          <w:b/>
          <w:bCs/>
        </w:rPr>
        <w:t>Proposal 4:</w:t>
      </w:r>
      <w:r>
        <w:t xml:space="preserve"> RAN2 to decide whether the changes are </w:t>
      </w:r>
      <w:r w:rsidR="00A74C0A">
        <w:t xml:space="preserve">adopted </w:t>
      </w:r>
      <w:r>
        <w:t xml:space="preserve">needed from Rel-15 </w:t>
      </w:r>
      <w:r w:rsidR="00A74C0A">
        <w:t xml:space="preserve">onwards (with late non-critical extensions to UE capabilities) </w:t>
      </w:r>
      <w:r>
        <w:t xml:space="preserve">or Rel-16 </w:t>
      </w:r>
      <w:r w:rsidR="00A74C0A">
        <w:t xml:space="preserve">(with magic sentence) </w:t>
      </w:r>
      <w:r>
        <w:t>onwards.</w:t>
      </w:r>
    </w:p>
    <w:p w14:paraId="3DE598A6" w14:textId="77777777" w:rsidR="00604E79" w:rsidRDefault="00604E79" w:rsidP="00604E79">
      <w:pPr>
        <w:keepNext/>
        <w:keepLines/>
        <w:pBdr>
          <w:top w:val="single" w:sz="12" w:space="3" w:color="auto"/>
        </w:pBdr>
        <w:spacing w:before="240"/>
        <w:ind w:left="1134" w:hanging="1134"/>
        <w:outlineLvl w:val="0"/>
        <w:rPr>
          <w:rFonts w:ascii="Arial" w:hAnsi="Arial"/>
          <w:sz w:val="36"/>
        </w:rPr>
      </w:pPr>
      <w:r>
        <w:rPr>
          <w:rFonts w:ascii="Arial" w:hAnsi="Arial"/>
          <w:sz w:val="36"/>
        </w:rPr>
        <w:t>3</w:t>
      </w:r>
      <w:r>
        <w:rPr>
          <w:rFonts w:ascii="Arial" w:hAnsi="Arial"/>
          <w:sz w:val="36"/>
        </w:rPr>
        <w:tab/>
        <w:t>Conclusion</w:t>
      </w:r>
    </w:p>
    <w:p w14:paraId="2C1E00AE" w14:textId="77777777" w:rsidR="00604E79" w:rsidRDefault="00604E79" w:rsidP="00604E79">
      <w:r>
        <w:t>This documents has made the following observations:</w:t>
      </w:r>
    </w:p>
    <w:p w14:paraId="1E0F2282" w14:textId="77777777" w:rsidR="00DB6B5D" w:rsidRDefault="00DB6B5D" w:rsidP="00DB6B5D">
      <w:r w:rsidRPr="004D2E7F">
        <w:rPr>
          <w:b/>
          <w:bCs/>
        </w:rPr>
        <w:t>Observation 1:</w:t>
      </w:r>
      <w:r>
        <w:t xml:space="preserve"> It is not clear if UEs supporting current n77 definition in US support extended n77 definition in US.</w:t>
      </w:r>
    </w:p>
    <w:p w14:paraId="45AB9178" w14:textId="77777777" w:rsidR="00DB6B5D" w:rsidRDefault="00DB6B5D" w:rsidP="00DB6B5D">
      <w:r w:rsidRPr="004D2E7F">
        <w:rPr>
          <w:b/>
          <w:bCs/>
        </w:rPr>
        <w:t xml:space="preserve">Observation </w:t>
      </w:r>
      <w:r>
        <w:rPr>
          <w:b/>
          <w:bCs/>
        </w:rPr>
        <w:t>2</w:t>
      </w:r>
      <w:r w:rsidRPr="004D2E7F">
        <w:rPr>
          <w:b/>
          <w:bCs/>
        </w:rPr>
        <w:t>:</w:t>
      </w:r>
      <w:r>
        <w:t xml:space="preserve"> RAN2 normally uses signalling to distinguish UEs supporting an extended version of a feature from those support the basic version of the feature.</w:t>
      </w:r>
    </w:p>
    <w:p w14:paraId="453FC309" w14:textId="77777777" w:rsidR="001B268F" w:rsidRDefault="001B268F" w:rsidP="001B268F">
      <w:r w:rsidRPr="009171D3">
        <w:rPr>
          <w:b/>
          <w:bCs/>
        </w:rPr>
        <w:t>Observation 3:</w:t>
      </w:r>
      <w:r>
        <w:t xml:space="preserve"> Existing UEs in the field would need to receive SW updates  (and possible even be re-certified) to support the extended band n77 in US.</w:t>
      </w:r>
    </w:p>
    <w:p w14:paraId="76FF8F74" w14:textId="77777777" w:rsidR="00DB6B5D" w:rsidRDefault="00DB6B5D" w:rsidP="00DB6B5D">
      <w:r w:rsidRPr="00DB6B5D">
        <w:rPr>
          <w:b/>
          <w:bCs/>
        </w:rPr>
        <w:t>Observation 4:</w:t>
      </w:r>
      <w:r>
        <w:t xml:space="preserve"> LTE eNB needs to know UE support of band n77 frequency range to configure measurements for EN-DC purposes.</w:t>
      </w:r>
    </w:p>
    <w:p w14:paraId="53CB0CD1" w14:textId="77777777" w:rsidR="00487A4B" w:rsidRDefault="00487A4B" w:rsidP="00487A4B">
      <w:r w:rsidRPr="00487A4B">
        <w:rPr>
          <w:b/>
          <w:bCs/>
        </w:rPr>
        <w:t>Observation 5:</w:t>
      </w:r>
      <w:r>
        <w:t xml:space="preserve"> Rel-15 changes would be more aligned for release-independence, whereas Rel-16 changes would easier to implement in terms of CRs (as late NCEs to LTE and NR RRC can be avoided).</w:t>
      </w:r>
    </w:p>
    <w:p w14:paraId="6843A5A8" w14:textId="77777777" w:rsidR="00604E79" w:rsidRDefault="00604E79" w:rsidP="00604E79">
      <w:pPr>
        <w:rPr>
          <w:bCs/>
        </w:rPr>
      </w:pPr>
      <w:r>
        <w:rPr>
          <w:bCs/>
        </w:rPr>
        <w:t>And proposed the following:</w:t>
      </w:r>
    </w:p>
    <w:p w14:paraId="32D1F84B" w14:textId="77777777" w:rsidR="00A74C0A" w:rsidRDefault="00A74C0A" w:rsidP="00A74C0A">
      <w:r w:rsidRPr="009171D3">
        <w:rPr>
          <w:b/>
          <w:bCs/>
        </w:rPr>
        <w:t>Proposal 1:</w:t>
      </w:r>
      <w:r>
        <w:t xml:space="preserve"> RAN2 defines new signalling that UE uses to indicate it supports extended US band n77 (i.e. the frequency range 3450-3550 MHz in addition to the existing 3700-3980 MHz).</w:t>
      </w:r>
    </w:p>
    <w:p w14:paraId="3C2F2964" w14:textId="77777777" w:rsidR="00A74C0A" w:rsidRDefault="00A74C0A" w:rsidP="00A74C0A">
      <w:r w:rsidRPr="00DB6B5D">
        <w:rPr>
          <w:b/>
          <w:bCs/>
        </w:rPr>
        <w:t>Proposal 2:</w:t>
      </w:r>
      <w:r>
        <w:t xml:space="preserve"> Add a new per-UE capability that indicates that UE supports extended frequency range in US for band n77.</w:t>
      </w:r>
    </w:p>
    <w:p w14:paraId="1207E87E" w14:textId="2E61AE20" w:rsidR="00A74C0A" w:rsidRDefault="00A74C0A" w:rsidP="00A74C0A">
      <w:r w:rsidRPr="00DB6B5D">
        <w:rPr>
          <w:b/>
          <w:bCs/>
        </w:rPr>
        <w:t xml:space="preserve">Proposal </w:t>
      </w:r>
      <w:r>
        <w:rPr>
          <w:b/>
          <w:bCs/>
        </w:rPr>
        <w:t>3</w:t>
      </w:r>
      <w:r w:rsidRPr="00DB6B5D">
        <w:rPr>
          <w:b/>
          <w:bCs/>
        </w:rPr>
        <w:t>:</w:t>
      </w:r>
      <w:r>
        <w:t xml:space="preserve"> Add the per-UE capability to both NR and LTE RRC. A UE supporting the capability for n77 extension in US shall support the n77 extension in US for both NR SA and </w:t>
      </w:r>
      <w:r w:rsidR="004E26A8">
        <w:t>EN-DC/MR</w:t>
      </w:r>
      <w:r>
        <w:t>-DC operation.</w:t>
      </w:r>
    </w:p>
    <w:p w14:paraId="66C7A938" w14:textId="77777777" w:rsidR="00A74C0A" w:rsidRDefault="00A74C0A" w:rsidP="00A74C0A">
      <w:r w:rsidRPr="00B760E0">
        <w:rPr>
          <w:b/>
          <w:bCs/>
        </w:rPr>
        <w:t>Proposal 4:</w:t>
      </w:r>
      <w:r>
        <w:t xml:space="preserve"> RAN2 to decide whether the changes are adopted needed from Rel-15 onwards (with late non-critical extensions to UE capabilities) or Rel-16 (with magic sentence) onwards.</w:t>
      </w:r>
    </w:p>
    <w:p w14:paraId="653EED19" w14:textId="7F2C3085" w:rsidR="00A209D6" w:rsidRPr="00CD4C7B" w:rsidRDefault="00E62563" w:rsidP="00A209D6">
      <w:r w:rsidRPr="00E62563">
        <w:t>The CRs fo</w:t>
      </w:r>
      <w:r w:rsidRPr="00457793">
        <w:t xml:space="preserve">r the proposed changes from Rel-16 onwards (with magic sentence) </w:t>
      </w:r>
      <w:r w:rsidRPr="004E26A8">
        <w:t xml:space="preserve">can be found in </w:t>
      </w:r>
      <w:hyperlink r:id="rId40" w:history="1">
        <w:r w:rsidR="00457793">
          <w:rPr>
            <w:rStyle w:val="Hyperlink"/>
          </w:rPr>
          <w:t>R2-2107939</w:t>
        </w:r>
      </w:hyperlink>
      <w:r w:rsidRPr="00134253">
        <w:t xml:space="preserve"> (38.331), </w:t>
      </w:r>
      <w:hyperlink r:id="rId41" w:history="1">
        <w:r w:rsidR="00457793">
          <w:rPr>
            <w:rStyle w:val="Hyperlink"/>
          </w:rPr>
          <w:t>R2-2107938</w:t>
        </w:r>
      </w:hyperlink>
      <w:r w:rsidRPr="00134253" w:rsidDel="00D143DA">
        <w:t xml:space="preserve"> </w:t>
      </w:r>
      <w:r w:rsidRPr="00134253">
        <w:t xml:space="preserve">(38.306), </w:t>
      </w:r>
      <w:hyperlink r:id="rId42" w:history="1">
        <w:r w:rsidR="00457793">
          <w:rPr>
            <w:rStyle w:val="Hyperlink"/>
          </w:rPr>
          <w:t>R2-2107937</w:t>
        </w:r>
      </w:hyperlink>
      <w:r w:rsidRPr="00134253" w:rsidDel="00D143DA">
        <w:t xml:space="preserve"> </w:t>
      </w:r>
      <w:r w:rsidRPr="00134253">
        <w:t xml:space="preserve">(36.331), </w:t>
      </w:r>
      <w:hyperlink r:id="rId43" w:history="1">
        <w:r w:rsidR="00457793">
          <w:rPr>
            <w:rStyle w:val="Hyperlink"/>
          </w:rPr>
          <w:t>R2-2107936</w:t>
        </w:r>
      </w:hyperlink>
      <w:r w:rsidRPr="00134253" w:rsidDel="00D143DA">
        <w:t xml:space="preserve"> </w:t>
      </w:r>
      <w:r w:rsidRPr="00134253">
        <w:t xml:space="preserve">(36.306), and CRs from Rel-15 onwards </w:t>
      </w:r>
      <w:r>
        <w:t xml:space="preserve">(with late NCE correction to UE capabilites) </w:t>
      </w:r>
      <w:r w:rsidRPr="00134253">
        <w:t xml:space="preserve">in </w:t>
      </w:r>
      <w:hyperlink r:id="rId44" w:history="1">
        <w:r w:rsidR="00457793">
          <w:rPr>
            <w:rStyle w:val="Hyperlink"/>
          </w:rPr>
          <w:t>R2-2107940</w:t>
        </w:r>
      </w:hyperlink>
      <w:r w:rsidRPr="00134253">
        <w:t>/</w:t>
      </w:r>
      <w:hyperlink r:id="rId45" w:history="1">
        <w:r w:rsidR="00457793">
          <w:rPr>
            <w:rStyle w:val="Hyperlink"/>
          </w:rPr>
          <w:t>R2-2107941</w:t>
        </w:r>
      </w:hyperlink>
      <w:r w:rsidRPr="00134253">
        <w:t xml:space="preserve"> (36.306), </w:t>
      </w:r>
      <w:hyperlink r:id="rId46" w:history="1">
        <w:r w:rsidR="00457793">
          <w:rPr>
            <w:rStyle w:val="Hyperlink"/>
          </w:rPr>
          <w:t>R2-2107942</w:t>
        </w:r>
      </w:hyperlink>
      <w:r w:rsidRPr="00134253">
        <w:t>/</w:t>
      </w:r>
      <w:hyperlink r:id="rId47" w:history="1">
        <w:r w:rsidR="00457793">
          <w:rPr>
            <w:rStyle w:val="Hyperlink"/>
          </w:rPr>
          <w:t>R2-2107943</w:t>
        </w:r>
      </w:hyperlink>
      <w:r w:rsidRPr="00134253">
        <w:t xml:space="preserve"> (36.331), , </w:t>
      </w:r>
      <w:hyperlink r:id="rId48" w:history="1">
        <w:r w:rsidR="00457793">
          <w:rPr>
            <w:rStyle w:val="Hyperlink"/>
          </w:rPr>
          <w:t>R2-2107944</w:t>
        </w:r>
      </w:hyperlink>
      <w:r w:rsidRPr="00134253">
        <w:t xml:space="preserve">/ </w:t>
      </w:r>
      <w:hyperlink r:id="rId49" w:history="1">
        <w:r w:rsidR="00457793">
          <w:rPr>
            <w:rStyle w:val="Hyperlink"/>
          </w:rPr>
          <w:t>R2-2107945</w:t>
        </w:r>
      </w:hyperlink>
      <w:r w:rsidRPr="00134253">
        <w:t xml:space="preserve"> (38.306) and </w:t>
      </w:r>
      <w:hyperlink r:id="rId50" w:history="1">
        <w:r w:rsidR="00457793">
          <w:rPr>
            <w:rStyle w:val="Hyperlink"/>
          </w:rPr>
          <w:t>R2-2107946</w:t>
        </w:r>
      </w:hyperlink>
      <w:r w:rsidRPr="00134253">
        <w:t>/</w:t>
      </w:r>
      <w:hyperlink r:id="rId51" w:history="1">
        <w:r w:rsidR="00457793">
          <w:rPr>
            <w:rStyle w:val="Hyperlink"/>
          </w:rPr>
          <w:t>R2-2107947</w:t>
        </w:r>
      </w:hyperlink>
      <w:r w:rsidRPr="00134253">
        <w:t xml:space="preserve"> (38.331).</w:t>
      </w:r>
    </w:p>
    <w:p w14:paraId="35F222F4" w14:textId="4A72E4D9"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5810D" w14:textId="77777777" w:rsidR="008A0736" w:rsidRDefault="008A0736">
      <w:r>
        <w:separator/>
      </w:r>
    </w:p>
  </w:endnote>
  <w:endnote w:type="continuationSeparator" w:id="0">
    <w:p w14:paraId="103E21E5" w14:textId="77777777" w:rsidR="008A0736" w:rsidRDefault="008A0736">
      <w:r>
        <w:continuationSeparator/>
      </w:r>
    </w:p>
  </w:endnote>
  <w:endnote w:type="continuationNotice" w:id="1">
    <w:p w14:paraId="34FA8328" w14:textId="77777777" w:rsidR="008A0736" w:rsidRDefault="008A0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D5F8B" w14:textId="77777777" w:rsidR="008A0736" w:rsidRDefault="008A0736">
      <w:r>
        <w:separator/>
      </w:r>
    </w:p>
  </w:footnote>
  <w:footnote w:type="continuationSeparator" w:id="0">
    <w:p w14:paraId="2E607580" w14:textId="77777777" w:rsidR="008A0736" w:rsidRDefault="008A0736">
      <w:r>
        <w:continuationSeparator/>
      </w:r>
    </w:p>
  </w:footnote>
  <w:footnote w:type="continuationNotice" w:id="1">
    <w:p w14:paraId="2032357D" w14:textId="77777777" w:rsidR="008A0736" w:rsidRDefault="008A07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9D82938"/>
    <w:multiLevelType w:val="hybridMultilevel"/>
    <w:tmpl w:val="C1A69366"/>
    <w:lvl w:ilvl="0" w:tplc="B48E3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51EB1"/>
    <w:multiLevelType w:val="hybridMultilevel"/>
    <w:tmpl w:val="30AEFC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71E34F84"/>
    <w:multiLevelType w:val="hybridMultilevel"/>
    <w:tmpl w:val="13946170"/>
    <w:lvl w:ilvl="0" w:tplc="E488CFE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ADD"/>
    <w:rsid w:val="00017C0D"/>
    <w:rsid w:val="00023C40"/>
    <w:rsid w:val="00033397"/>
    <w:rsid w:val="00040095"/>
    <w:rsid w:val="00053DE2"/>
    <w:rsid w:val="00065268"/>
    <w:rsid w:val="00072FDF"/>
    <w:rsid w:val="00073C9C"/>
    <w:rsid w:val="00080512"/>
    <w:rsid w:val="00090468"/>
    <w:rsid w:val="00094568"/>
    <w:rsid w:val="000B7BCF"/>
    <w:rsid w:val="000C522B"/>
    <w:rsid w:val="000D58AB"/>
    <w:rsid w:val="00112F1A"/>
    <w:rsid w:val="00134253"/>
    <w:rsid w:val="00145075"/>
    <w:rsid w:val="00167C91"/>
    <w:rsid w:val="001741A0"/>
    <w:rsid w:val="00175FA0"/>
    <w:rsid w:val="00194CD0"/>
    <w:rsid w:val="001B268F"/>
    <w:rsid w:val="001B49C9"/>
    <w:rsid w:val="001C1515"/>
    <w:rsid w:val="001C23F4"/>
    <w:rsid w:val="001C4F79"/>
    <w:rsid w:val="001F168B"/>
    <w:rsid w:val="001F7831"/>
    <w:rsid w:val="00204045"/>
    <w:rsid w:val="0020712B"/>
    <w:rsid w:val="002151E6"/>
    <w:rsid w:val="0022606D"/>
    <w:rsid w:val="00231728"/>
    <w:rsid w:val="00244A05"/>
    <w:rsid w:val="00250404"/>
    <w:rsid w:val="002610D8"/>
    <w:rsid w:val="002747EC"/>
    <w:rsid w:val="002855BF"/>
    <w:rsid w:val="002908E3"/>
    <w:rsid w:val="002F0D22"/>
    <w:rsid w:val="00311B17"/>
    <w:rsid w:val="003172DC"/>
    <w:rsid w:val="00325AE3"/>
    <w:rsid w:val="00326069"/>
    <w:rsid w:val="003452A9"/>
    <w:rsid w:val="0035462D"/>
    <w:rsid w:val="00362D6C"/>
    <w:rsid w:val="0036459E"/>
    <w:rsid w:val="00364B41"/>
    <w:rsid w:val="00383096"/>
    <w:rsid w:val="0039346C"/>
    <w:rsid w:val="003A41EF"/>
    <w:rsid w:val="003B40AD"/>
    <w:rsid w:val="003C4E37"/>
    <w:rsid w:val="003E16BE"/>
    <w:rsid w:val="003E6CF4"/>
    <w:rsid w:val="003F4E28"/>
    <w:rsid w:val="004006E8"/>
    <w:rsid w:val="00401855"/>
    <w:rsid w:val="00454400"/>
    <w:rsid w:val="00455564"/>
    <w:rsid w:val="00457793"/>
    <w:rsid w:val="00465587"/>
    <w:rsid w:val="00470900"/>
    <w:rsid w:val="00477455"/>
    <w:rsid w:val="00487A4B"/>
    <w:rsid w:val="004A1F7B"/>
    <w:rsid w:val="004C44D2"/>
    <w:rsid w:val="004D2E7F"/>
    <w:rsid w:val="004D3578"/>
    <w:rsid w:val="004D380D"/>
    <w:rsid w:val="004E03B3"/>
    <w:rsid w:val="004E213A"/>
    <w:rsid w:val="004E26A8"/>
    <w:rsid w:val="004F4540"/>
    <w:rsid w:val="004F73A7"/>
    <w:rsid w:val="005022B2"/>
    <w:rsid w:val="00503171"/>
    <w:rsid w:val="00506C28"/>
    <w:rsid w:val="00534DA0"/>
    <w:rsid w:val="00543E6C"/>
    <w:rsid w:val="0054602F"/>
    <w:rsid w:val="005478B7"/>
    <w:rsid w:val="0055719F"/>
    <w:rsid w:val="00565087"/>
    <w:rsid w:val="0056573F"/>
    <w:rsid w:val="00571279"/>
    <w:rsid w:val="00577182"/>
    <w:rsid w:val="005A49C6"/>
    <w:rsid w:val="005D1285"/>
    <w:rsid w:val="00604E79"/>
    <w:rsid w:val="006101EC"/>
    <w:rsid w:val="00611566"/>
    <w:rsid w:val="00646567"/>
    <w:rsid w:val="00646D99"/>
    <w:rsid w:val="00655496"/>
    <w:rsid w:val="00656910"/>
    <w:rsid w:val="006574C0"/>
    <w:rsid w:val="0068201D"/>
    <w:rsid w:val="00696821"/>
    <w:rsid w:val="006B0AEB"/>
    <w:rsid w:val="006C66D8"/>
    <w:rsid w:val="006D1E24"/>
    <w:rsid w:val="006D35DE"/>
    <w:rsid w:val="006E1057"/>
    <w:rsid w:val="006E1417"/>
    <w:rsid w:val="006F6A2C"/>
    <w:rsid w:val="007069DC"/>
    <w:rsid w:val="00707F2B"/>
    <w:rsid w:val="00710201"/>
    <w:rsid w:val="0072073A"/>
    <w:rsid w:val="007236E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0529E"/>
    <w:rsid w:val="00813245"/>
    <w:rsid w:val="00840DE0"/>
    <w:rsid w:val="008607A8"/>
    <w:rsid w:val="0086354A"/>
    <w:rsid w:val="008768CA"/>
    <w:rsid w:val="00877EF9"/>
    <w:rsid w:val="00880559"/>
    <w:rsid w:val="008A0736"/>
    <w:rsid w:val="008B5306"/>
    <w:rsid w:val="008C2E2A"/>
    <w:rsid w:val="008C3057"/>
    <w:rsid w:val="008D2E4D"/>
    <w:rsid w:val="008F396F"/>
    <w:rsid w:val="008F3DCD"/>
    <w:rsid w:val="0090271F"/>
    <w:rsid w:val="00902DB9"/>
    <w:rsid w:val="0090466A"/>
    <w:rsid w:val="009171D3"/>
    <w:rsid w:val="00923655"/>
    <w:rsid w:val="00936071"/>
    <w:rsid w:val="009376CD"/>
    <w:rsid w:val="00940212"/>
    <w:rsid w:val="00942EC2"/>
    <w:rsid w:val="00951F08"/>
    <w:rsid w:val="00961B32"/>
    <w:rsid w:val="00962509"/>
    <w:rsid w:val="00970DB3"/>
    <w:rsid w:val="00974BB0"/>
    <w:rsid w:val="00975BCD"/>
    <w:rsid w:val="009928A9"/>
    <w:rsid w:val="009A0AF3"/>
    <w:rsid w:val="009B07CD"/>
    <w:rsid w:val="009B2A2D"/>
    <w:rsid w:val="009C19E9"/>
    <w:rsid w:val="009D409B"/>
    <w:rsid w:val="009D74A6"/>
    <w:rsid w:val="009E0E87"/>
    <w:rsid w:val="00A10F02"/>
    <w:rsid w:val="00A204CA"/>
    <w:rsid w:val="00A20649"/>
    <w:rsid w:val="00A209D6"/>
    <w:rsid w:val="00A22738"/>
    <w:rsid w:val="00A430EC"/>
    <w:rsid w:val="00A53724"/>
    <w:rsid w:val="00A54B2B"/>
    <w:rsid w:val="00A60AAD"/>
    <w:rsid w:val="00A62F21"/>
    <w:rsid w:val="00A74C0A"/>
    <w:rsid w:val="00A82346"/>
    <w:rsid w:val="00A9671C"/>
    <w:rsid w:val="00AA1553"/>
    <w:rsid w:val="00AA30B3"/>
    <w:rsid w:val="00B05380"/>
    <w:rsid w:val="00B05962"/>
    <w:rsid w:val="00B15449"/>
    <w:rsid w:val="00B16C2F"/>
    <w:rsid w:val="00B27303"/>
    <w:rsid w:val="00B474A4"/>
    <w:rsid w:val="00B478DB"/>
    <w:rsid w:val="00B47FD1"/>
    <w:rsid w:val="00B516BB"/>
    <w:rsid w:val="00B606E6"/>
    <w:rsid w:val="00B7538C"/>
    <w:rsid w:val="00B760E0"/>
    <w:rsid w:val="00B84DB2"/>
    <w:rsid w:val="00BC3555"/>
    <w:rsid w:val="00BC49E7"/>
    <w:rsid w:val="00BC5708"/>
    <w:rsid w:val="00BD662C"/>
    <w:rsid w:val="00C12B51"/>
    <w:rsid w:val="00C24650"/>
    <w:rsid w:val="00C25465"/>
    <w:rsid w:val="00C33079"/>
    <w:rsid w:val="00C55A12"/>
    <w:rsid w:val="00C6553E"/>
    <w:rsid w:val="00C83A13"/>
    <w:rsid w:val="00C86F10"/>
    <w:rsid w:val="00C9068C"/>
    <w:rsid w:val="00C92967"/>
    <w:rsid w:val="00CA3D0C"/>
    <w:rsid w:val="00CA654B"/>
    <w:rsid w:val="00CB72B8"/>
    <w:rsid w:val="00CC1FE9"/>
    <w:rsid w:val="00CD0BA8"/>
    <w:rsid w:val="00CD4C7B"/>
    <w:rsid w:val="00CD58FE"/>
    <w:rsid w:val="00D140D6"/>
    <w:rsid w:val="00D143D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B5D"/>
    <w:rsid w:val="00DB6BF7"/>
    <w:rsid w:val="00DC309B"/>
    <w:rsid w:val="00DC4DA2"/>
    <w:rsid w:val="00DC5261"/>
    <w:rsid w:val="00DE25D2"/>
    <w:rsid w:val="00DF5C6F"/>
    <w:rsid w:val="00E268A9"/>
    <w:rsid w:val="00E46C08"/>
    <w:rsid w:val="00E471CF"/>
    <w:rsid w:val="00E62563"/>
    <w:rsid w:val="00E62835"/>
    <w:rsid w:val="00E65A42"/>
    <w:rsid w:val="00E77645"/>
    <w:rsid w:val="00E83697"/>
    <w:rsid w:val="00E859B6"/>
    <w:rsid w:val="00EA66C9"/>
    <w:rsid w:val="00EB2609"/>
    <w:rsid w:val="00EB777B"/>
    <w:rsid w:val="00EC4A25"/>
    <w:rsid w:val="00EF612C"/>
    <w:rsid w:val="00F01D5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B36FA"/>
    <w:rsid w:val="00FC1192"/>
    <w:rsid w:val="00FD5C4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3EFE087-3FDF-4F5B-AA15-22631CFD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04E79"/>
    <w:pPr>
      <w:ind w:left="720"/>
      <w:contextualSpacing/>
    </w:pPr>
    <w:rPr>
      <w:rFonts w:eastAsia="SimSun"/>
    </w:rPr>
  </w:style>
  <w:style w:type="paragraph" w:customStyle="1" w:styleId="Doc-text2">
    <w:name w:val="Doc-text2"/>
    <w:basedOn w:val="Normal"/>
    <w:link w:val="Doc-text2Char"/>
    <w:qFormat/>
    <w:rsid w:val="00604E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04E79"/>
    <w:rPr>
      <w:rFonts w:ascii="Arial" w:eastAsia="MS Mincho" w:hAnsi="Arial"/>
      <w:szCs w:val="24"/>
    </w:rPr>
  </w:style>
  <w:style w:type="character" w:styleId="FollowedHyperlink">
    <w:name w:val="FollowedHyperlink"/>
    <w:basedOn w:val="DefaultParagraphFont"/>
    <w:rsid w:val="009B2A2D"/>
    <w:rPr>
      <w:color w:val="954F72" w:themeColor="followedHyperlink"/>
      <w:u w:val="single"/>
    </w:rPr>
  </w:style>
  <w:style w:type="character" w:styleId="CommentReference">
    <w:name w:val="annotation reference"/>
    <w:basedOn w:val="DefaultParagraphFont"/>
    <w:rsid w:val="00455564"/>
    <w:rPr>
      <w:sz w:val="16"/>
      <w:szCs w:val="16"/>
    </w:rPr>
  </w:style>
  <w:style w:type="paragraph" w:styleId="CommentText">
    <w:name w:val="annotation text"/>
    <w:basedOn w:val="Normal"/>
    <w:link w:val="CommentTextChar"/>
    <w:rsid w:val="00455564"/>
  </w:style>
  <w:style w:type="character" w:customStyle="1" w:styleId="CommentTextChar">
    <w:name w:val="Comment Text Char"/>
    <w:basedOn w:val="DefaultParagraphFont"/>
    <w:link w:val="CommentText"/>
    <w:rsid w:val="00455564"/>
    <w:rPr>
      <w:lang w:eastAsia="en-US"/>
    </w:rPr>
  </w:style>
  <w:style w:type="paragraph" w:styleId="CommentSubject">
    <w:name w:val="annotation subject"/>
    <w:basedOn w:val="CommentText"/>
    <w:next w:val="CommentText"/>
    <w:link w:val="CommentSubjectChar"/>
    <w:rsid w:val="00455564"/>
    <w:rPr>
      <w:b/>
      <w:bCs/>
    </w:rPr>
  </w:style>
  <w:style w:type="character" w:customStyle="1" w:styleId="CommentSubjectChar">
    <w:name w:val="Comment Subject Char"/>
    <w:basedOn w:val="CommentTextChar"/>
    <w:link w:val="CommentSubject"/>
    <w:rsid w:val="0045556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495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126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8bis_e/docs/R4-2105439.zip" TargetMode="External"/><Relationship Id="rId18" Type="http://schemas.openxmlformats.org/officeDocument/2006/relationships/hyperlink" Target="http://www.3gpp.org/ftp/tsg_ran/wg4_radio/tsgr4_99-e/docs/R4-2109444.zip" TargetMode="External"/><Relationship Id="rId26" Type="http://schemas.openxmlformats.org/officeDocument/2006/relationships/hyperlink" Target="https://www.3gpp.org/ftp/TSG_RAN/WG2_RL2/TSGR2_115-e/Docs/R2-2107937.zip" TargetMode="External"/><Relationship Id="rId39" Type="http://schemas.openxmlformats.org/officeDocument/2006/relationships/hyperlink" Target="https://www.3gpp.org/ftp/TSG_RAN/WG2_RL2/TSGR2_115-e/Docs/R2-2107947.zip" TargetMode="External"/><Relationship Id="rId3" Type="http://schemas.openxmlformats.org/officeDocument/2006/relationships/customXml" Target="../customXml/item3.xml"/><Relationship Id="rId21" Type="http://schemas.openxmlformats.org/officeDocument/2006/relationships/hyperlink" Target="http://www.3gpp.org/ftp/tsg_ran/wg4_radio/tsgr4_99-e/docs/R4-2109442.zip" TargetMode="External"/><Relationship Id="rId34" Type="http://schemas.openxmlformats.org/officeDocument/2006/relationships/hyperlink" Target="https://www.3gpp.org/ftp/TSG_RAN/WG2_RL2/TSGR2_115-e/Docs/R2-2107942.zip" TargetMode="External"/><Relationship Id="rId42" Type="http://schemas.openxmlformats.org/officeDocument/2006/relationships/hyperlink" Target="https://www.3gpp.org/ftp/TSG_RAN/WG2_RL2/TSGR2_115-e/Docs/R2-2107937.zip" TargetMode="External"/><Relationship Id="rId47" Type="http://schemas.openxmlformats.org/officeDocument/2006/relationships/hyperlink" Target="https://www.3gpp.org/ftp/TSG_RAN/WG2_RL2/TSGR2_115-e/Docs/R2-2107943.zip" TargetMode="External"/><Relationship Id="rId50" Type="http://schemas.openxmlformats.org/officeDocument/2006/relationships/hyperlink" Target="https://www.3gpp.org/ftp/TSG_RAN/WG2_RL2/TSGR2_115-e/Docs/R2-2107946.zip" TargetMode="External"/><Relationship Id="rId7" Type="http://schemas.openxmlformats.org/officeDocument/2006/relationships/styles" Target="styles.xml"/><Relationship Id="rId12" Type="http://schemas.openxmlformats.org/officeDocument/2006/relationships/hyperlink" Target="https://www.3gpp.org/ftp/TSG_RAN/WG2_RL2/TSGR2_115-e/Docs/R2-2107935.zip" TargetMode="External"/><Relationship Id="rId17" Type="http://schemas.openxmlformats.org/officeDocument/2006/relationships/hyperlink" Target="http://www.3gpp.org/ftp/tsg_ran/wg4_radio/tsgr4_99-e/docs/R4-2109443.zip" TargetMode="External"/><Relationship Id="rId25" Type="http://schemas.openxmlformats.org/officeDocument/2006/relationships/hyperlink" Target="https://www.3gpp.org/ftp/TSG_RAN/WG2_RL2/TSGR2_115-e/Docs/R2-2107938.zip" TargetMode="External"/><Relationship Id="rId33" Type="http://schemas.openxmlformats.org/officeDocument/2006/relationships/hyperlink" Target="https://www.3gpp.org/ftp/TSG_RAN/WG2_RL2/TSGR2_115-e/Docs/R2-2107941.zip" TargetMode="External"/><Relationship Id="rId38" Type="http://schemas.openxmlformats.org/officeDocument/2006/relationships/hyperlink" Target="https://www.3gpp.org/ftp/TSG_RAN/WG2_RL2/TSGR2_115-e/Docs/R2-2107946.zip" TargetMode="External"/><Relationship Id="rId46" Type="http://schemas.openxmlformats.org/officeDocument/2006/relationships/hyperlink" Target="https://www.3gpp.org/ftp/TSG_RAN/WG2_RL2/TSGR2_115-e/Docs/R2-2107942.zip" TargetMode="External"/><Relationship Id="rId2" Type="http://schemas.openxmlformats.org/officeDocument/2006/relationships/customXml" Target="../customXml/item2.xml"/><Relationship Id="rId16" Type="http://schemas.openxmlformats.org/officeDocument/2006/relationships/hyperlink" Target="http://www.3gpp.org/ftp/tsg_ran/wg4_radio/tsgr4_99-e/docs/R4-2109442.zip" TargetMode="External"/><Relationship Id="rId20" Type="http://schemas.openxmlformats.org/officeDocument/2006/relationships/image" Target="media/image1.png"/><Relationship Id="rId29" Type="http://schemas.openxmlformats.org/officeDocument/2006/relationships/hyperlink" Target="https://www.3gpp.org/ftp/TSG_RAN/WG2_RL2/TSGR2_115-e/Docs/R2-21xxxx%20.zip" TargetMode="External"/><Relationship Id="rId41" Type="http://schemas.openxmlformats.org/officeDocument/2006/relationships/hyperlink" Target="https://www.3gpp.org/ftp/TSG_RAN/WG2_RL2/TSGR2_115-e/Docs/R2-210793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5-e/Docs/R2-2107939.zip" TargetMode="External"/><Relationship Id="rId32" Type="http://schemas.openxmlformats.org/officeDocument/2006/relationships/hyperlink" Target="https://www.3gpp.org/ftp/TSG_RAN/WG2_RL2/TSGR2_115-e/Docs/R2-2107940.zip" TargetMode="External"/><Relationship Id="rId37" Type="http://schemas.openxmlformats.org/officeDocument/2006/relationships/hyperlink" Target="https://www.3gpp.org/ftp/TSG_RAN/WG2_RL2/TSGR2_115-e/Docs/R2-2107945.zip" TargetMode="External"/><Relationship Id="rId40" Type="http://schemas.openxmlformats.org/officeDocument/2006/relationships/hyperlink" Target="https://www.3gpp.org/ftp/TSG_RAN/WG2_RL2/TSGR2_115-e/Docs/R2-2107939.zip" TargetMode="External"/><Relationship Id="rId45" Type="http://schemas.openxmlformats.org/officeDocument/2006/relationships/hyperlink" Target="https://www.3gpp.org/ftp/TSG_RAN/WG2_RL2/TSGR2_115-e/Docs/R2-2107941.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4_radio/tsgr4_99-e/docs/R4-2109174.zip" TargetMode="External"/><Relationship Id="rId23" Type="http://schemas.openxmlformats.org/officeDocument/2006/relationships/hyperlink" Target="http://www.3gpp.org/ftp/tsg_ran/wg4_radio/tsgr4_99-e/docs/R4-2109444.zip" TargetMode="External"/><Relationship Id="rId28" Type="http://schemas.openxmlformats.org/officeDocument/2006/relationships/hyperlink" Target="https://www.3gpp.org/ftp/TSG_RAN/WG2_RL2/TSGR2_115-e/Docs/R2-21xxxx%20.zip" TargetMode="External"/><Relationship Id="rId36" Type="http://schemas.openxmlformats.org/officeDocument/2006/relationships/hyperlink" Target="https://www.3gpp.org/ftp/TSG_RAN/WG2_RL2/TSGR2_115-e/Docs/R2-2107944.zip" TargetMode="External"/><Relationship Id="rId49" Type="http://schemas.openxmlformats.org/officeDocument/2006/relationships/hyperlink" Target="https://www.3gpp.org/ftp/TSG_RAN/WG2_RL2/TSGR2_115-e/Docs/R2-2107945.zip" TargetMode="External"/><Relationship Id="rId10" Type="http://schemas.openxmlformats.org/officeDocument/2006/relationships/footnotes" Target="footnotes.xml"/><Relationship Id="rId19" Type="http://schemas.openxmlformats.org/officeDocument/2006/relationships/hyperlink" Target="https://www.3gpp.org/ftp/TSG_RAN/TSG_RAN/TSGR_92e/Docs/RP-211587.zip" TargetMode="External"/><Relationship Id="rId31" Type="http://schemas.openxmlformats.org/officeDocument/2006/relationships/hyperlink" Target="https://www.3gpp.org/ftp/TSG_RAN/WG2_RL2/TSGR2_115-e/Docs/R2-21xxxx%20.zip" TargetMode="External"/><Relationship Id="rId44" Type="http://schemas.openxmlformats.org/officeDocument/2006/relationships/hyperlink" Target="https://www.3gpp.org/ftp/TSG_RAN/WG2_RL2/TSGR2_115-e/Docs/R2-2107940.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9-e/docs/R4-2110979.zip" TargetMode="External"/><Relationship Id="rId22" Type="http://schemas.openxmlformats.org/officeDocument/2006/relationships/hyperlink" Target="http://www.3gpp.org/ftp/tsg_ran/wg4_radio/tsgr4_99-e/docs/R4-2109443.zip" TargetMode="External"/><Relationship Id="rId27" Type="http://schemas.openxmlformats.org/officeDocument/2006/relationships/hyperlink" Target="https://www.3gpp.org/ftp/TSG_RAN/WG2_RL2/TSGR2_115-e/Docs/R2-2107936.zip" TargetMode="External"/><Relationship Id="rId30" Type="http://schemas.openxmlformats.org/officeDocument/2006/relationships/hyperlink" Target="https://www.3gpp.org/ftp/TSG_RAN/WG2_RL2/TSGR2_115-e/Docs/R2-21xxxx%20.zip" TargetMode="External"/><Relationship Id="rId35" Type="http://schemas.openxmlformats.org/officeDocument/2006/relationships/hyperlink" Target="https://www.3gpp.org/ftp/TSG_RAN/WG2_RL2/TSGR2_115-e/Docs/R2-2107943.zip" TargetMode="External"/><Relationship Id="rId43" Type="http://schemas.openxmlformats.org/officeDocument/2006/relationships/hyperlink" Target="https://www.3gpp.org/ftp/TSG_RAN/WG2_RL2/TSGR2_115-e/Docs/R2-2107936.zip" TargetMode="External"/><Relationship Id="rId48" Type="http://schemas.openxmlformats.org/officeDocument/2006/relationships/hyperlink" Target="https://www.3gpp.org/ftp/TSG_RAN/WG2_RL2/TSGR2_115-e/Docs/R2-2107944.zip" TargetMode="External"/><Relationship Id="rId8" Type="http://schemas.openxmlformats.org/officeDocument/2006/relationships/settings" Target="settings.xml"/><Relationship Id="rId51" Type="http://schemas.openxmlformats.org/officeDocument/2006/relationships/hyperlink" Target="https://www.3gpp.org/ftp/TSG_RAN/WG2_RL2/TSGR2_115-e/Docs/R2-2107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5AIRPNAIUNRU-859666464-9359</_dlc_DocId>
    <_dlc_DocIdUrl xmlns="71c5aaf6-e6ce-465b-b873-5148d2a4c105">
      <Url>https://nokia.sharepoint.com/sites/c5g/e2earch/_layouts/15/DocIdRedir.aspx?ID=5AIRPNAIUNRU-859666464-9359</Url>
      <Description>5AIRPNAIUNRU-859666464-9359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44</cp:revision>
  <dcterms:created xsi:type="dcterms:W3CDTF">2021-08-04T19:02:00Z</dcterms:created>
  <dcterms:modified xsi:type="dcterms:W3CDTF">2021-08-06T04:45:00Z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9aeffe72-bb31-461b-8972-c27d943fc2ef</vt:lpwstr>
  </property>
</Properties>
</file>